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5857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1D98925" wp14:editId="316F12E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9DE11A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75905D1" w14:textId="77777777" w:rsidR="00CD3EFA" w:rsidRDefault="00CD3EFA"/>
    <w:p w14:paraId="5D411950" w14:textId="4E214902" w:rsidR="00C337A4" w:rsidRPr="003A2F05" w:rsidRDefault="008B4218" w:rsidP="0023763F">
      <w:pPr>
        <w:spacing w:after="2400"/>
        <w:jc w:val="right"/>
      </w:pPr>
      <w:r>
        <w:t xml:space="preserve">Zagreb, </w:t>
      </w:r>
      <w:r w:rsidR="001721E3">
        <w:t>5. ožujka</w:t>
      </w:r>
      <w:r w:rsidR="00027E39" w:rsidRPr="003A2F05">
        <w:t xml:space="preserve"> </w:t>
      </w:r>
      <w:r w:rsidR="00C337A4" w:rsidRPr="003A2F05">
        <w:t>20</w:t>
      </w:r>
      <w:r w:rsidR="00EE5FA1">
        <w:t>2</w:t>
      </w:r>
      <w:r>
        <w:t>6</w:t>
      </w:r>
      <w:r w:rsidR="00C337A4" w:rsidRPr="003A2F05">
        <w:t>.</w:t>
      </w:r>
    </w:p>
    <w:p w14:paraId="2574EB9B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FF60E4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A99C131" w14:textId="77777777" w:rsidTr="000350D9">
        <w:tc>
          <w:tcPr>
            <w:tcW w:w="1951" w:type="dxa"/>
          </w:tcPr>
          <w:p w14:paraId="3D8F79D0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40F23C" w14:textId="77777777" w:rsidR="000350D9" w:rsidRDefault="00FD1CDC" w:rsidP="009C42C1">
            <w:pPr>
              <w:spacing w:line="360" w:lineRule="auto"/>
            </w:pPr>
            <w:r>
              <w:t xml:space="preserve">Ministarstvo unutarnjih poslova </w:t>
            </w:r>
          </w:p>
        </w:tc>
      </w:tr>
    </w:tbl>
    <w:p w14:paraId="47951CAA" w14:textId="77777777" w:rsidR="000350D9" w:rsidRPr="009C42C1" w:rsidRDefault="000350D9" w:rsidP="009C42C1">
      <w:pPr>
        <w:spacing w:line="360" w:lineRule="auto"/>
        <w:sectPr w:rsidR="000350D9" w:rsidRPr="009C42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2179F8">
        <w:t>__________________________________________</w:t>
      </w:r>
      <w:r w:rsidR="009C42C1">
        <w:t>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0350D9" w14:paraId="4ADEED8F" w14:textId="77777777" w:rsidTr="000350D9">
        <w:tc>
          <w:tcPr>
            <w:tcW w:w="1951" w:type="dxa"/>
          </w:tcPr>
          <w:p w14:paraId="3E797183" w14:textId="77777777" w:rsidR="000350D9" w:rsidRDefault="009C42C1" w:rsidP="009C42C1">
            <w:pPr>
              <w:tabs>
                <w:tab w:val="center" w:pos="862"/>
                <w:tab w:val="right" w:pos="1724"/>
              </w:tabs>
              <w:spacing w:line="360" w:lineRule="auto"/>
            </w:pPr>
            <w:r>
              <w:rPr>
                <w:b/>
                <w:smallCaps/>
              </w:rPr>
              <w:tab/>
            </w:r>
            <w:r w:rsidR="000350D9">
              <w:rPr>
                <w:b/>
                <w:smallCaps/>
              </w:rPr>
              <w:t>Predmet</w:t>
            </w:r>
            <w:r w:rsidR="000350D9"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4047A91" w14:textId="77777777" w:rsidR="000350D9" w:rsidRDefault="00BF1C5B" w:rsidP="001721E3">
            <w:pPr>
              <w:jc w:val="both"/>
            </w:pPr>
            <w:r>
              <w:t xml:space="preserve">Prijedlog </w:t>
            </w:r>
            <w:r w:rsidR="008B4218" w:rsidRPr="008B4218">
              <w:t>odluke o davanju suglasnosti za povlačenje Republike Hrvatske iz sporazuma između Vlade Republike Hrvatske i Vlade Mađarske o radu dunavskog policijsko-sigurnosnog koordinacijskog centra</w:t>
            </w:r>
          </w:p>
        </w:tc>
      </w:tr>
    </w:tbl>
    <w:p w14:paraId="654C5B7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D5DE03D" w14:textId="77777777" w:rsidR="00CE78D1" w:rsidRDefault="00CE78D1" w:rsidP="008F0DD4"/>
    <w:p w14:paraId="55704F3D" w14:textId="77777777" w:rsidR="00CE78D1" w:rsidRPr="00CE78D1" w:rsidRDefault="00CE78D1" w:rsidP="00CE78D1"/>
    <w:p w14:paraId="509CB126" w14:textId="77777777" w:rsidR="00CE78D1" w:rsidRPr="00CE78D1" w:rsidRDefault="00CE78D1" w:rsidP="00CE78D1"/>
    <w:p w14:paraId="2644DE6A" w14:textId="77777777" w:rsidR="00CE78D1" w:rsidRPr="00CE78D1" w:rsidRDefault="00CE78D1" w:rsidP="00CE78D1"/>
    <w:p w14:paraId="3B1559A8" w14:textId="77777777" w:rsidR="00CE78D1" w:rsidRPr="00CE78D1" w:rsidRDefault="00CE78D1" w:rsidP="00CE78D1"/>
    <w:p w14:paraId="3D1D5102" w14:textId="77777777" w:rsidR="00CE78D1" w:rsidRPr="00CE78D1" w:rsidRDefault="00CE78D1" w:rsidP="00CE78D1"/>
    <w:p w14:paraId="28B97E70" w14:textId="77777777" w:rsidR="00CE78D1" w:rsidRPr="00CE78D1" w:rsidRDefault="00CE78D1" w:rsidP="00CE78D1"/>
    <w:p w14:paraId="6F3457D1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C1793E2" w14:textId="77777777" w:rsidR="001721E3" w:rsidRDefault="001721E3" w:rsidP="000B716E">
      <w:pPr>
        <w:jc w:val="right"/>
        <w:rPr>
          <w:b/>
          <w:u w:val="single"/>
        </w:rPr>
      </w:pPr>
    </w:p>
    <w:p w14:paraId="4619D18E" w14:textId="02045AAF" w:rsidR="000B716E" w:rsidRPr="001721E3" w:rsidRDefault="000B716E" w:rsidP="000B716E">
      <w:pPr>
        <w:jc w:val="right"/>
        <w:rPr>
          <w:b/>
        </w:rPr>
      </w:pPr>
      <w:r w:rsidRPr="001721E3">
        <w:rPr>
          <w:b/>
        </w:rPr>
        <w:t>PRIJEDLOG</w:t>
      </w:r>
    </w:p>
    <w:p w14:paraId="67890C53" w14:textId="77777777" w:rsidR="000B716E" w:rsidRPr="00B72DBE" w:rsidRDefault="000B716E" w:rsidP="000B716E">
      <w:pPr>
        <w:jc w:val="right"/>
        <w:rPr>
          <w:b/>
          <w:u w:val="single"/>
        </w:rPr>
      </w:pPr>
    </w:p>
    <w:p w14:paraId="2881436C" w14:textId="77777777" w:rsidR="001721E3" w:rsidRDefault="001721E3" w:rsidP="008B4218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</w:p>
    <w:p w14:paraId="0FAAC0E5" w14:textId="6B678834" w:rsidR="008B4218" w:rsidRPr="008B4218" w:rsidRDefault="008B4218" w:rsidP="008B4218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Na temelju članka 41. stavka 2. Zakona o sklapanju i izvršavanju međunarodnih ugovora („Narodne novine“, broj 28/96.), a u vezi s člankom 54. podstavkom (a) Bečke konvencije o pravu međunarodnih ugovora („Narodne novine – Međunarodni ugovori“, br. 16/93. i 9/98. – ispravak), Vlada Republike Hrvatske je na sjednici održanoj _________</w:t>
      </w:r>
      <w:r w:rsidR="001721E3">
        <w:rPr>
          <w:rFonts w:eastAsia="Calibri"/>
          <w:lang w:eastAsia="en-US"/>
        </w:rPr>
        <w:t xml:space="preserve"> </w:t>
      </w:r>
      <w:r w:rsidRPr="008B4218">
        <w:rPr>
          <w:rFonts w:eastAsia="Calibri"/>
          <w:lang w:eastAsia="en-US"/>
        </w:rPr>
        <w:t>2026. donijela</w:t>
      </w:r>
    </w:p>
    <w:p w14:paraId="24B6C485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</w:p>
    <w:p w14:paraId="129DE60E" w14:textId="71ADC869" w:rsidR="008B4218" w:rsidRDefault="008B4218" w:rsidP="001721E3">
      <w:pPr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>O D L U K U</w:t>
      </w:r>
    </w:p>
    <w:p w14:paraId="32EE4B79" w14:textId="77777777" w:rsidR="001721E3" w:rsidRPr="008B4218" w:rsidRDefault="001721E3" w:rsidP="001721E3">
      <w:pPr>
        <w:jc w:val="center"/>
        <w:rPr>
          <w:rFonts w:eastAsia="Calibri"/>
          <w:b/>
          <w:lang w:eastAsia="en-US"/>
        </w:rPr>
      </w:pPr>
    </w:p>
    <w:p w14:paraId="3F36424C" w14:textId="77777777" w:rsidR="001721E3" w:rsidRDefault="008B4218" w:rsidP="001721E3">
      <w:pPr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 xml:space="preserve">o davanju suglasnosti za povlačenje Republike Hrvatske iz Sporazuma između </w:t>
      </w:r>
    </w:p>
    <w:p w14:paraId="6B2F97EC" w14:textId="77777777" w:rsidR="001721E3" w:rsidRDefault="008B4218" w:rsidP="001721E3">
      <w:pPr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>Vlade Republike Hrvatske i Vlade Mađarske o radu Dunavskog policijsko-sigurnosnog koordinacijskog centra</w:t>
      </w:r>
    </w:p>
    <w:p w14:paraId="4E8F625B" w14:textId="7AD22703" w:rsidR="008B4218" w:rsidRPr="008B4218" w:rsidRDefault="008B4218" w:rsidP="001721E3">
      <w:pPr>
        <w:jc w:val="center"/>
        <w:rPr>
          <w:rFonts w:eastAsia="Calibri"/>
          <w:b/>
          <w:lang w:eastAsia="en-US"/>
        </w:rPr>
      </w:pPr>
      <w:r w:rsidRPr="008B4218" w:rsidDel="002B480A">
        <w:rPr>
          <w:rFonts w:eastAsia="Calibri"/>
          <w:b/>
          <w:lang w:eastAsia="en-US"/>
        </w:rPr>
        <w:t xml:space="preserve"> </w:t>
      </w:r>
    </w:p>
    <w:p w14:paraId="6DBD0A88" w14:textId="39445C55" w:rsidR="008B4218" w:rsidRDefault="008B4218" w:rsidP="001721E3">
      <w:pPr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>I.</w:t>
      </w:r>
    </w:p>
    <w:p w14:paraId="0E96FDA1" w14:textId="77777777" w:rsidR="001721E3" w:rsidRPr="008B4218" w:rsidRDefault="001721E3" w:rsidP="001721E3">
      <w:pPr>
        <w:jc w:val="center"/>
        <w:rPr>
          <w:rFonts w:eastAsia="Calibri"/>
          <w:b/>
          <w:lang w:eastAsia="en-US"/>
        </w:rPr>
      </w:pPr>
    </w:p>
    <w:p w14:paraId="0849FC92" w14:textId="77777777" w:rsidR="008B4218" w:rsidRPr="008B4218" w:rsidRDefault="008B4218" w:rsidP="001721E3">
      <w:pPr>
        <w:ind w:firstLine="708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Daje se suglasnost za povlačenje Republike Hrvatske iz Sporazuma između Vlade Republike Hrvatske i Vlade Mađarske o radu Dunavskog policijsko-sigurnosnog koordinacijskog centra, sastavljenog u Mátraházi 11. listopada 2012.  („Narodne novine – Međunarodni ugovori“, br. 3/13.).</w:t>
      </w:r>
    </w:p>
    <w:p w14:paraId="196B1594" w14:textId="77777777" w:rsidR="008B4218" w:rsidRPr="008B4218" w:rsidRDefault="008B4218" w:rsidP="001721E3">
      <w:pPr>
        <w:jc w:val="both"/>
        <w:rPr>
          <w:rFonts w:eastAsia="Calibri"/>
          <w:lang w:eastAsia="en-US"/>
        </w:rPr>
      </w:pPr>
    </w:p>
    <w:p w14:paraId="3C278C82" w14:textId="0DF119FF" w:rsidR="008B4218" w:rsidRDefault="008B4218" w:rsidP="001721E3">
      <w:pPr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>II.</w:t>
      </w:r>
    </w:p>
    <w:p w14:paraId="757EFE0F" w14:textId="77777777" w:rsidR="001721E3" w:rsidRPr="008B4218" w:rsidRDefault="001721E3" w:rsidP="001721E3">
      <w:pPr>
        <w:jc w:val="center"/>
        <w:rPr>
          <w:rFonts w:eastAsia="Calibri"/>
          <w:b/>
          <w:lang w:eastAsia="en-US"/>
        </w:rPr>
      </w:pPr>
    </w:p>
    <w:p w14:paraId="5446247A" w14:textId="77777777" w:rsidR="008B4218" w:rsidRPr="008B4218" w:rsidRDefault="008B4218" w:rsidP="001721E3">
      <w:pPr>
        <w:ind w:firstLine="708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Zadužuje se Ministarstvo vanjskih i europskih poslova da, u ime Vlade Republike Hrvatske, a u skladu s člankom 12. stavkom 2. Sporazuma, diplomatskim putem obavijesti mađarsku stranu o povlačenju Republike Hrvatske iz Sporazuma iz točke I. ove Odluke.</w:t>
      </w:r>
    </w:p>
    <w:p w14:paraId="21F24094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</w:p>
    <w:p w14:paraId="65A42297" w14:textId="5A11ACC5" w:rsidR="008B4218" w:rsidRDefault="008B4218" w:rsidP="001721E3">
      <w:pPr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>III.</w:t>
      </w:r>
    </w:p>
    <w:p w14:paraId="731DD81B" w14:textId="77777777" w:rsidR="00B77488" w:rsidRPr="008B4218" w:rsidRDefault="00B77488" w:rsidP="001721E3">
      <w:pPr>
        <w:jc w:val="center"/>
        <w:rPr>
          <w:rFonts w:eastAsia="Calibri"/>
          <w:lang w:eastAsia="en-US"/>
        </w:rPr>
      </w:pPr>
    </w:p>
    <w:p w14:paraId="64CFD6DE" w14:textId="3465C62A" w:rsidR="008B4218" w:rsidRDefault="008B4218" w:rsidP="001721E3">
      <w:pPr>
        <w:ind w:firstLine="708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Ova Odluka stupa na snagu danom donošenja.</w:t>
      </w:r>
    </w:p>
    <w:p w14:paraId="3F6FFFEA" w14:textId="77777777" w:rsidR="001721E3" w:rsidRPr="008B4218" w:rsidRDefault="001721E3" w:rsidP="001721E3">
      <w:pPr>
        <w:ind w:firstLine="708"/>
        <w:rPr>
          <w:rFonts w:eastAsia="Calibri"/>
          <w:lang w:eastAsia="en-US"/>
        </w:rPr>
      </w:pPr>
    </w:p>
    <w:p w14:paraId="1472DE97" w14:textId="77777777" w:rsidR="008B4218" w:rsidRPr="008B4218" w:rsidRDefault="008B4218" w:rsidP="008B4218">
      <w:pPr>
        <w:spacing w:after="160" w:line="259" w:lineRule="auto"/>
        <w:rPr>
          <w:rFonts w:eastAsia="Calibri"/>
          <w:lang w:eastAsia="en-US"/>
        </w:rPr>
      </w:pPr>
    </w:p>
    <w:p w14:paraId="15D1F577" w14:textId="77777777" w:rsidR="008B4218" w:rsidRPr="008B4218" w:rsidRDefault="008B4218" w:rsidP="001721E3">
      <w:pPr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KLASA:</w:t>
      </w:r>
    </w:p>
    <w:p w14:paraId="32C288F5" w14:textId="53DF1719" w:rsidR="008B4218" w:rsidRDefault="008B4218" w:rsidP="001721E3">
      <w:pPr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URBROJ:</w:t>
      </w:r>
    </w:p>
    <w:p w14:paraId="30860E26" w14:textId="77777777" w:rsidR="001721E3" w:rsidRPr="008B4218" w:rsidRDefault="001721E3" w:rsidP="001721E3">
      <w:pPr>
        <w:rPr>
          <w:rFonts w:eastAsia="Calibri"/>
          <w:lang w:eastAsia="en-US"/>
        </w:rPr>
      </w:pPr>
    </w:p>
    <w:p w14:paraId="6C0CF7B7" w14:textId="77777777" w:rsidR="008B4218" w:rsidRPr="008B4218" w:rsidRDefault="008B4218" w:rsidP="008B4218">
      <w:pPr>
        <w:spacing w:after="160" w:line="259" w:lineRule="auto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Zagreb,</w:t>
      </w:r>
    </w:p>
    <w:p w14:paraId="48882A15" w14:textId="77777777" w:rsidR="008B4218" w:rsidRPr="008B4218" w:rsidRDefault="008B4218" w:rsidP="008B4218">
      <w:pPr>
        <w:spacing w:after="160" w:line="259" w:lineRule="auto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  <w:t>PREDSJEDNIK</w:t>
      </w:r>
    </w:p>
    <w:p w14:paraId="2AC3322F" w14:textId="77777777" w:rsidR="008B4218" w:rsidRPr="008B4218" w:rsidRDefault="008B4218" w:rsidP="008B4218">
      <w:pPr>
        <w:spacing w:after="160" w:line="259" w:lineRule="auto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</w:r>
      <w:r w:rsidRPr="008B4218">
        <w:rPr>
          <w:rFonts w:eastAsia="Calibri"/>
          <w:lang w:eastAsia="en-US"/>
        </w:rPr>
        <w:tab/>
        <w:t xml:space="preserve">     mr. sc. Andrej Plenković</w:t>
      </w:r>
    </w:p>
    <w:p w14:paraId="1D6904A7" w14:textId="77777777" w:rsidR="008B4218" w:rsidRPr="008B4218" w:rsidRDefault="008B4218" w:rsidP="008B4218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60E42A65" w14:textId="77777777" w:rsidR="008B4218" w:rsidRPr="008B4218" w:rsidRDefault="008B4218" w:rsidP="008B4218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2C3B5995" w14:textId="77777777" w:rsidR="008B4218" w:rsidRPr="008B4218" w:rsidRDefault="008B4218" w:rsidP="008B4218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7BE86A63" w14:textId="77777777" w:rsidR="008B4218" w:rsidRPr="008B4218" w:rsidRDefault="008B4218" w:rsidP="008B4218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14:paraId="28267917" w14:textId="77777777" w:rsidR="00B64F11" w:rsidRDefault="00B64F11" w:rsidP="004007C7">
      <w:pPr>
        <w:spacing w:after="160" w:line="259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</w:p>
    <w:p w14:paraId="0CE4CD9C" w14:textId="0CA16EDB" w:rsidR="00BD5A24" w:rsidRPr="008B4218" w:rsidRDefault="008B4218" w:rsidP="004007C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8B4218">
        <w:rPr>
          <w:rFonts w:eastAsia="Calibri"/>
          <w:b/>
          <w:lang w:eastAsia="en-US"/>
        </w:rPr>
        <w:t>OBRAZLOŽENJE</w:t>
      </w:r>
    </w:p>
    <w:p w14:paraId="40B087AE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Republika Hrvatska i Mađarska sklopile su dana 11. listopada 2012. u Mátraháziju Sporazum između Vlade Republike Hrvatske i Vlade Mađarske o radu Dunavskog policijsko-sigurnosnog koordinacijskog centra („Narodne novine – Međunarodni ugovori“, br. 3/13; u daljnjem tekstu: Sporazum), kojim je uspostavljen pravni okvir za jačanje suradnje nadležnih tijela dviju država u području međunarodne policijske suradnje, s ciljem unaprjeđenja sigurnosti u dunavskoj regiji.</w:t>
      </w:r>
    </w:p>
    <w:p w14:paraId="4F51E5EB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Na temelju predmetnog Sporazuma, uspostavljen je Centar za policijsku i carinsku suradnju (PSC) u Mohaču, čija je svrha bila potpora međusobnoj operativnoj suradnji, osobito u kontekstu priprema Republike Hrvatske za pristupanje Europskoj uniji. Aktivnosti PSC-a Mohač obuhvaćale su koordinaciju poslova granične policije na rijeci, suradnju carinskih uprava, zajedničke aktivnosti u području upravljanja katastrofama te borbu protiv prekograničnog kriminaliteta na vodenim putovima.</w:t>
      </w:r>
    </w:p>
    <w:p w14:paraId="13EE3BB2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Nakon pristupanja Republike Hrvatske Europskoj uniji, a osobito ulaskom u Schengenski prostor te paralelnim jačanjem institucionalne i operativne uloge Agencije za europsku graničnu i obalnu stražu (Frontex), došlo je do značajnih promjena u načinu i opsegu međunarodne policijske suradnje. Posljedično, djelokrug rada hrvatskih policijskih službenika unutar PSC-a Mohač tijekom proteklih godina značajno se smanjio. Istodobno, znatan dio operativnih i koordinacijskih aktivnosti preusmjeren je na Centar za policijsku i carinsku suradnju Dolga Vas, koji djeluje u režimu 24/7 i u kojem, osim Republike Hrvatske i Mađarske, sudjeluju i nadležna tijela Republike Slovenije i Republike Austrije. Uz navedeno, dio zadaća iz područja koordinacije i komunikacije s tijelima drugih država članica Europske unije preuzeo je Nacionalni koordinacijski centar Uprave za granicu Ministarstva unutarnjih poslova Republike Hrvatske.</w:t>
      </w:r>
    </w:p>
    <w:p w14:paraId="3574CE8B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S obzirom na navedene okolnosti te u cilju optimizacije i racionalizacije prekogranične suradnje, mađarska strana predložila je ukidanje PSC-a Mohač i nastavak bilateralne i multilateralne suradnje kroz PSC Dolga Vas. Ministarstvo unutarnjih poslova Republike Hrvatske podržava navedeni prijedlog te je, imajući u vidu smanjenje opterećenja i troškova povezanih s angažmanom hrvatskih policijskih službenika u PSC-u Mohač, predložilo pokretanje postupka povlačenja Republike Hrvatske iz predmetnog Sporazuma.</w:t>
      </w:r>
    </w:p>
    <w:p w14:paraId="5D246AC8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Sukladno članku 12. stavku 2. Sporazuma, svaka ugovorna stranka ovlaštena je povući se iz Sporazuma dostavom pisane obavijesti drugoj ugovornoj stranci, a učinci takvog povlačenja nastupaju šest (6) mjeseci od dana primitka obavijesti.</w:t>
      </w:r>
    </w:p>
    <w:p w14:paraId="59217503" w14:textId="77777777" w:rsidR="008B4218" w:rsidRPr="008B4218" w:rsidRDefault="008B4218" w:rsidP="008B4218">
      <w:pPr>
        <w:spacing w:after="160" w:line="259" w:lineRule="auto"/>
        <w:jc w:val="both"/>
        <w:rPr>
          <w:rFonts w:eastAsia="Calibri"/>
          <w:lang w:eastAsia="en-US"/>
        </w:rPr>
      </w:pPr>
      <w:r w:rsidRPr="008B4218">
        <w:rPr>
          <w:rFonts w:eastAsia="Calibri"/>
          <w:lang w:eastAsia="en-US"/>
        </w:rPr>
        <w:t>Slijedom navedenoga, predlaže se donošenje Odluke o davanju suglasnosti za povlačenje Republike Hrvatske iz Sporazuma između Vlade Republike Hrvatske i Vlade Mađarske o radu Dunavskog policijsko-sigurnosnog koordinacijskog centra, uz zaduženje Ministarstva vanjskih i europskih poslova da, sukladno članku 12. stavku 2. Sporazuma, diplomatskim putem o predmetnom povlačenju izvijesti mađarsku stranu.</w:t>
      </w:r>
    </w:p>
    <w:p w14:paraId="7392E5AE" w14:textId="77777777" w:rsidR="000B716E" w:rsidRDefault="000B716E" w:rsidP="000B716E"/>
    <w:p w14:paraId="65822C22" w14:textId="77777777" w:rsidR="000B716E" w:rsidRPr="00CE78D1" w:rsidRDefault="000B716E" w:rsidP="00CE78D1"/>
    <w:p w14:paraId="4DE41228" w14:textId="77777777" w:rsidR="00CE78D1" w:rsidRDefault="00CE78D1" w:rsidP="00CE78D1"/>
    <w:p w14:paraId="41996165" w14:textId="77777777" w:rsidR="00CE78D1" w:rsidRDefault="00CE78D1" w:rsidP="00CE78D1"/>
    <w:p w14:paraId="343A49DE" w14:textId="77777777" w:rsidR="008F0DD4" w:rsidRPr="00CE78D1" w:rsidRDefault="008F0DD4" w:rsidP="00CE78D1"/>
    <w:sectPr w:rsidR="008F0DD4" w:rsidRPr="00CE78D1" w:rsidSect="00EC1041">
      <w:footerReference w:type="default" r:id="rId14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81197" w14:textId="77777777" w:rsidR="008167E7" w:rsidRDefault="008167E7" w:rsidP="0011560A">
      <w:r>
        <w:separator/>
      </w:r>
    </w:p>
  </w:endnote>
  <w:endnote w:type="continuationSeparator" w:id="0">
    <w:p w14:paraId="2797A812" w14:textId="77777777" w:rsidR="008167E7" w:rsidRDefault="008167E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AA8AE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34CD2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E775" w14:textId="77777777" w:rsidR="008167E7" w:rsidRDefault="008167E7" w:rsidP="0011560A">
      <w:r>
        <w:separator/>
      </w:r>
    </w:p>
  </w:footnote>
  <w:footnote w:type="continuationSeparator" w:id="0">
    <w:p w14:paraId="0AFA652C" w14:textId="77777777" w:rsidR="008167E7" w:rsidRDefault="008167E7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551B1"/>
    <w:multiLevelType w:val="hybridMultilevel"/>
    <w:tmpl w:val="A1C69728"/>
    <w:lvl w:ilvl="0" w:tplc="6F3CCE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B716E"/>
    <w:rsid w:val="000C0127"/>
    <w:rsid w:val="000D1A50"/>
    <w:rsid w:val="001015C6"/>
    <w:rsid w:val="00110E6C"/>
    <w:rsid w:val="0011560A"/>
    <w:rsid w:val="00127321"/>
    <w:rsid w:val="00132782"/>
    <w:rsid w:val="00135F1A"/>
    <w:rsid w:val="00146B79"/>
    <w:rsid w:val="00147DE9"/>
    <w:rsid w:val="00155BBB"/>
    <w:rsid w:val="001642D9"/>
    <w:rsid w:val="00167C52"/>
    <w:rsid w:val="00170226"/>
    <w:rsid w:val="001721E3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0669D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B68E6"/>
    <w:rsid w:val="003C09D8"/>
    <w:rsid w:val="003D47D1"/>
    <w:rsid w:val="003F5623"/>
    <w:rsid w:val="004007C7"/>
    <w:rsid w:val="004039BD"/>
    <w:rsid w:val="0040610B"/>
    <w:rsid w:val="004206B1"/>
    <w:rsid w:val="00426B39"/>
    <w:rsid w:val="00440D6D"/>
    <w:rsid w:val="00442367"/>
    <w:rsid w:val="00461188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7E7"/>
    <w:rsid w:val="00816982"/>
    <w:rsid w:val="00817862"/>
    <w:rsid w:val="00822FDC"/>
    <w:rsid w:val="0083185E"/>
    <w:rsid w:val="00833808"/>
    <w:rsid w:val="008353A1"/>
    <w:rsid w:val="008365FD"/>
    <w:rsid w:val="00853D17"/>
    <w:rsid w:val="00873FDE"/>
    <w:rsid w:val="00881BBB"/>
    <w:rsid w:val="0089283D"/>
    <w:rsid w:val="008B4218"/>
    <w:rsid w:val="008B60D7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B2437"/>
    <w:rsid w:val="009C33E1"/>
    <w:rsid w:val="009C42C1"/>
    <w:rsid w:val="009C7815"/>
    <w:rsid w:val="009D0CB5"/>
    <w:rsid w:val="00A125FB"/>
    <w:rsid w:val="00A15F08"/>
    <w:rsid w:val="00A175E9"/>
    <w:rsid w:val="00A21819"/>
    <w:rsid w:val="00A329DE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7187"/>
    <w:rsid w:val="00B64D48"/>
    <w:rsid w:val="00B64F11"/>
    <w:rsid w:val="00B706F8"/>
    <w:rsid w:val="00B77104"/>
    <w:rsid w:val="00B77488"/>
    <w:rsid w:val="00B908C2"/>
    <w:rsid w:val="00BA28CD"/>
    <w:rsid w:val="00BA70A4"/>
    <w:rsid w:val="00BA72BF"/>
    <w:rsid w:val="00BB015F"/>
    <w:rsid w:val="00BB5EE2"/>
    <w:rsid w:val="00BC4AD2"/>
    <w:rsid w:val="00BD5A24"/>
    <w:rsid w:val="00BD5A58"/>
    <w:rsid w:val="00BF1C5B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441D"/>
    <w:rsid w:val="00CF7BB4"/>
    <w:rsid w:val="00CF7EEC"/>
    <w:rsid w:val="00D07290"/>
    <w:rsid w:val="00D1127C"/>
    <w:rsid w:val="00D14240"/>
    <w:rsid w:val="00D15B90"/>
    <w:rsid w:val="00D1614C"/>
    <w:rsid w:val="00D250FC"/>
    <w:rsid w:val="00D53D18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00B37"/>
    <w:rsid w:val="00E2210E"/>
    <w:rsid w:val="00E25569"/>
    <w:rsid w:val="00E601A2"/>
    <w:rsid w:val="00E6314C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D1CDC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0E3117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AZJMDCZ6QSYZ-886166611-12824</_dlc_DocId>
    <_dlc_DocIdUrl xmlns="a494813a-d0d8-4dad-94cb-0d196f36ba15">
      <Url>https://ekoordinacije.vlada.hr/unutarnja-ljudska/_layouts/15/DocIdRedir.aspx?ID=AZJMDCZ6QSYZ-886166611-12824</Url>
      <Description>AZJMDCZ6QSYZ-886166611-12824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780D-8F77-4957-85F0-D1870D419511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494813a-d0d8-4dad-94cb-0d196f36ba15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310191-B336-47DF-A0B4-940A0997D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197D9-3955-430B-BB0C-F570C18EB5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3AD687-F6C2-419F-9BF1-913345574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07CF21-E33A-468C-8A01-B1D1108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601</Words>
  <Characters>4295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65</cp:revision>
  <cp:lastPrinted>2019-01-21T11:06:00Z</cp:lastPrinted>
  <dcterms:created xsi:type="dcterms:W3CDTF">2020-01-07T14:02:00Z</dcterms:created>
  <dcterms:modified xsi:type="dcterms:W3CDTF">2026-02-27T07:18:00Z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47f9c72f-dd76-421a-842a-1ea24e10cf82</vt:lpwstr>
  </property>
</Properties>
</file>